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bCs/>
          <w:sz w:val="28"/>
          <w:szCs w:val="28"/>
        </w:rPr>
      </w:pPr>
      <w:r>
        <w:rPr>
          <w:rFonts w:hint="eastAsia" w:ascii="黑体" w:hAnsi="黑体" w:eastAsia="黑体"/>
          <w:sz w:val="32"/>
          <w:szCs w:val="32"/>
        </w:rPr>
        <w:t>附件1</w:t>
      </w:r>
    </w:p>
    <w:p>
      <w:pPr>
        <w:spacing w:line="560" w:lineRule="exact"/>
        <w:jc w:val="center"/>
        <w:rPr>
          <w:rFonts w:ascii="黑体" w:hAnsi="黑体" w:eastAsia="黑体" w:cs="宋体"/>
          <w:kern w:val="0"/>
          <w:sz w:val="36"/>
          <w:szCs w:val="44"/>
        </w:rPr>
      </w:pPr>
    </w:p>
    <w:p>
      <w:pPr>
        <w:spacing w:line="560" w:lineRule="exact"/>
        <w:jc w:val="center"/>
        <w:rPr>
          <w:rFonts w:ascii="方正小标宋简体" w:eastAsia="方正小标宋简体"/>
          <w:spacing w:val="16"/>
          <w:sz w:val="44"/>
          <w:szCs w:val="32"/>
          <w:lang w:val="zh-TW"/>
        </w:rPr>
      </w:pPr>
      <w:bookmarkStart w:id="0" w:name="_GoBack"/>
      <w:r>
        <w:rPr>
          <w:rFonts w:hint="eastAsia" w:ascii="方正小标宋简体" w:eastAsia="方正小标宋简体"/>
          <w:spacing w:val="16"/>
          <w:sz w:val="44"/>
          <w:szCs w:val="32"/>
          <w:lang w:val="zh-TW" w:eastAsia="zh-TW"/>
        </w:rPr>
        <w:t>学生资助监督管理</w:t>
      </w:r>
      <w:r>
        <w:rPr>
          <w:rFonts w:hint="eastAsia" w:ascii="方正小标宋简体" w:eastAsia="方正小标宋简体"/>
          <w:spacing w:val="16"/>
          <w:sz w:val="44"/>
          <w:szCs w:val="32"/>
          <w:lang w:val="zh-TW"/>
        </w:rPr>
        <w:t>和走访调研</w:t>
      </w:r>
    </w:p>
    <w:p>
      <w:pPr>
        <w:spacing w:line="560" w:lineRule="exact"/>
        <w:jc w:val="center"/>
        <w:rPr>
          <w:rFonts w:ascii="黑体" w:hAnsi="黑体" w:eastAsia="黑体" w:cs="宋体"/>
          <w:kern w:val="0"/>
          <w:sz w:val="36"/>
          <w:szCs w:val="44"/>
        </w:rPr>
      </w:pPr>
      <w:r>
        <w:rPr>
          <w:rFonts w:hint="eastAsia" w:ascii="方正小标宋简体" w:eastAsia="方正小标宋简体"/>
          <w:spacing w:val="16"/>
          <w:sz w:val="44"/>
          <w:szCs w:val="32"/>
        </w:rPr>
        <w:t>工作</w:t>
      </w:r>
      <w:r>
        <w:rPr>
          <w:rFonts w:hint="eastAsia" w:ascii="方正小标宋简体" w:eastAsia="方正小标宋简体"/>
          <w:spacing w:val="16"/>
          <w:sz w:val="44"/>
          <w:szCs w:val="32"/>
          <w:lang w:val="zh-TW" w:eastAsia="zh-TW"/>
        </w:rPr>
        <w:t>实施方案</w:t>
      </w:r>
    </w:p>
    <w:bookmarkEnd w:id="0"/>
    <w:p>
      <w:pPr>
        <w:spacing w:line="560" w:lineRule="exact"/>
        <w:jc w:val="center"/>
        <w:rPr>
          <w:rFonts w:ascii="黑体" w:hAnsi="黑体" w:eastAsia="黑体" w:cs="宋体"/>
          <w:kern w:val="0"/>
          <w:sz w:val="36"/>
          <w:szCs w:val="44"/>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我校学生资助管理工作有关文件要求，为进一步规范学校学生资助管理工作，确保资助工作“公开、公平、公正、及时、有效”开展，维护学生正当权益，由学生工作部组织成立北京中医药大学学生资助工作监督管理和走访调研小组，对各学院、培养单位的学生资助工作情况进行监督管理和走访调研。</w:t>
      </w:r>
    </w:p>
    <w:p>
      <w:pPr>
        <w:spacing w:line="560" w:lineRule="exact"/>
        <w:ind w:firstLine="640" w:firstLineChars="200"/>
        <w:rPr>
          <w:rFonts w:ascii="黑体" w:hAnsi="黑体" w:eastAsia="黑体"/>
          <w:bCs/>
          <w:sz w:val="28"/>
          <w:szCs w:val="28"/>
        </w:rPr>
      </w:pPr>
      <w:r>
        <w:rPr>
          <w:rFonts w:hint="eastAsia" w:ascii="黑体" w:hAnsi="黑体" w:eastAsia="黑体"/>
          <w:sz w:val="32"/>
          <w:szCs w:val="32"/>
        </w:rPr>
        <w:t>一、工作时间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4</w:t>
      </w:r>
      <w:r>
        <w:rPr>
          <w:rFonts w:hint="eastAsia" w:ascii="仿宋_GB2312" w:hAnsi="仿宋" w:eastAsia="仿宋_GB2312"/>
          <w:sz w:val="32"/>
          <w:szCs w:val="32"/>
        </w:rPr>
        <w:t>年3月-</w:t>
      </w:r>
      <w:r>
        <w:rPr>
          <w:rFonts w:ascii="仿宋_GB2312" w:hAnsi="仿宋" w:eastAsia="仿宋_GB2312"/>
          <w:sz w:val="32"/>
          <w:szCs w:val="32"/>
        </w:rPr>
        <w:t>4</w:t>
      </w:r>
      <w:r>
        <w:rPr>
          <w:rFonts w:hint="eastAsia" w:ascii="仿宋_GB2312" w:hAnsi="仿宋" w:eastAsia="仿宋_GB2312"/>
          <w:sz w:val="32"/>
          <w:szCs w:val="32"/>
        </w:rPr>
        <w:t xml:space="preserve">月 </w:t>
      </w:r>
    </w:p>
    <w:p>
      <w:pPr>
        <w:adjustRightInd w:val="0"/>
        <w:snapToGrid w:val="0"/>
        <w:spacing w:line="560" w:lineRule="exact"/>
        <w:ind w:firstLine="640" w:firstLineChars="200"/>
        <w:rPr>
          <w:rFonts w:ascii="黑体" w:hAnsi="黑体" w:eastAsia="黑体"/>
          <w:bCs/>
          <w:sz w:val="28"/>
          <w:szCs w:val="28"/>
        </w:rPr>
      </w:pPr>
      <w:r>
        <w:rPr>
          <w:rFonts w:hint="eastAsia" w:ascii="黑体" w:hAnsi="黑体" w:eastAsia="黑体"/>
          <w:sz w:val="32"/>
          <w:szCs w:val="32"/>
        </w:rPr>
        <w:t>二、开展方式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本着坚持实事求是、公平公正、保密的原则，深入各个学院及培养医院，以材料审查、听取汇报等方式进行，过程中广泛听取各学院意见。</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三、调研内容</w:t>
      </w:r>
    </w:p>
    <w:p>
      <w:pPr>
        <w:adjustRightInd w:val="0"/>
        <w:snapToGrid w:val="0"/>
        <w:spacing w:line="560" w:lineRule="exact"/>
        <w:rPr>
          <w:rFonts w:ascii="黑体" w:hAnsi="黑体" w:eastAsia="黑体"/>
          <w:bCs/>
          <w:sz w:val="28"/>
          <w:szCs w:val="28"/>
        </w:rPr>
        <w:sectPr>
          <w:footerReference r:id="rId3" w:type="default"/>
          <w:pgSz w:w="11906" w:h="16838"/>
          <w:pgMar w:top="1440" w:right="1800" w:bottom="1440" w:left="1800" w:header="851" w:footer="992" w:gutter="0"/>
          <w:cols w:space="425" w:num="1"/>
          <w:docGrid w:type="lines" w:linePitch="312" w:charSpace="0"/>
        </w:sectPr>
      </w:pPr>
    </w:p>
    <w:p>
      <w:pPr>
        <w:adjustRightInd w:val="0"/>
        <w:snapToGrid w:val="0"/>
        <w:spacing w:line="560" w:lineRule="exact"/>
        <w:rPr>
          <w:rFonts w:ascii="宋体" w:hAnsi="宋体" w:eastAsia="宋体"/>
          <w:b/>
          <w:bCs/>
          <w:sz w:val="28"/>
          <w:szCs w:val="28"/>
        </w:rPr>
      </w:pPr>
      <w:r>
        <w:rPr>
          <w:rFonts w:hint="eastAsia" w:ascii="仿宋" w:hAnsi="仿宋" w:eastAsia="仿宋" w:cs="仿宋"/>
          <w:b/>
          <w:bCs/>
          <w:sz w:val="28"/>
          <w:szCs w:val="28"/>
        </w:rPr>
        <w:t>1.基础部分</w:t>
      </w:r>
    </w:p>
    <w:tbl>
      <w:tblPr>
        <w:tblStyle w:val="5"/>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276"/>
        <w:gridCol w:w="1275"/>
        <w:gridCol w:w="1134"/>
        <w:gridCol w:w="5812"/>
        <w:gridCol w:w="3119"/>
      </w:tblGrid>
      <w:tr>
        <w:trPr>
          <w:trHeight w:val="280" w:hRule="atLeast"/>
        </w:trPr>
        <w:tc>
          <w:tcPr>
            <w:tcW w:w="1413" w:type="dxa"/>
          </w:tcPr>
          <w:p>
            <w:pPr>
              <w:adjustRightInd w:val="0"/>
              <w:snapToGrid w:val="0"/>
              <w:spacing w:line="560" w:lineRule="exact"/>
              <w:jc w:val="center"/>
              <w:rPr>
                <w:rFonts w:ascii="仿宋" w:hAnsi="仿宋" w:eastAsia="仿宋"/>
                <w:b/>
                <w:bCs/>
                <w:sz w:val="22"/>
                <w:szCs w:val="28"/>
              </w:rPr>
            </w:pPr>
            <w:r>
              <w:rPr>
                <w:rFonts w:ascii="仿宋" w:hAnsi="仿宋" w:eastAsia="仿宋"/>
                <w:b/>
                <w:bCs/>
                <w:sz w:val="22"/>
                <w:szCs w:val="28"/>
              </w:rPr>
              <w:t>一级指标</w:t>
            </w:r>
          </w:p>
        </w:tc>
        <w:tc>
          <w:tcPr>
            <w:tcW w:w="1276" w:type="dxa"/>
          </w:tcPr>
          <w:p>
            <w:pPr>
              <w:adjustRightInd w:val="0"/>
              <w:snapToGrid w:val="0"/>
              <w:spacing w:line="560" w:lineRule="exact"/>
              <w:jc w:val="center"/>
              <w:rPr>
                <w:rFonts w:ascii="仿宋" w:hAnsi="仿宋" w:eastAsia="仿宋"/>
                <w:b/>
                <w:bCs/>
                <w:sz w:val="22"/>
                <w:szCs w:val="28"/>
              </w:rPr>
            </w:pPr>
            <w:r>
              <w:rPr>
                <w:rFonts w:ascii="仿宋" w:hAnsi="仿宋" w:eastAsia="仿宋"/>
                <w:b/>
                <w:bCs/>
                <w:sz w:val="22"/>
                <w:szCs w:val="28"/>
              </w:rPr>
              <w:t>二级指标</w:t>
            </w:r>
          </w:p>
        </w:tc>
        <w:tc>
          <w:tcPr>
            <w:tcW w:w="1275" w:type="dxa"/>
          </w:tcPr>
          <w:p>
            <w:pPr>
              <w:adjustRightInd w:val="0"/>
              <w:snapToGrid w:val="0"/>
              <w:spacing w:line="560" w:lineRule="exact"/>
              <w:jc w:val="center"/>
              <w:rPr>
                <w:rFonts w:ascii="仿宋" w:hAnsi="仿宋" w:eastAsia="仿宋"/>
                <w:b/>
                <w:bCs/>
                <w:sz w:val="22"/>
                <w:szCs w:val="28"/>
              </w:rPr>
            </w:pPr>
            <w:r>
              <w:rPr>
                <w:rFonts w:ascii="仿宋" w:hAnsi="仿宋" w:eastAsia="仿宋"/>
                <w:b/>
                <w:bCs/>
                <w:sz w:val="22"/>
                <w:szCs w:val="28"/>
              </w:rPr>
              <w:t>三级指标</w:t>
            </w:r>
          </w:p>
        </w:tc>
        <w:tc>
          <w:tcPr>
            <w:tcW w:w="1134" w:type="dxa"/>
          </w:tcPr>
          <w:p>
            <w:pPr>
              <w:adjustRightInd w:val="0"/>
              <w:snapToGrid w:val="0"/>
              <w:spacing w:line="560" w:lineRule="exact"/>
              <w:jc w:val="center"/>
              <w:rPr>
                <w:rFonts w:ascii="仿宋" w:hAnsi="仿宋" w:eastAsia="仿宋"/>
                <w:b/>
                <w:bCs/>
                <w:sz w:val="22"/>
                <w:szCs w:val="28"/>
              </w:rPr>
            </w:pPr>
            <w:r>
              <w:rPr>
                <w:rFonts w:ascii="仿宋" w:hAnsi="仿宋" w:eastAsia="仿宋"/>
                <w:b/>
                <w:bCs/>
                <w:sz w:val="22"/>
                <w:szCs w:val="28"/>
              </w:rPr>
              <w:t>指标分值</w:t>
            </w:r>
          </w:p>
        </w:tc>
        <w:tc>
          <w:tcPr>
            <w:tcW w:w="5812" w:type="dxa"/>
          </w:tcPr>
          <w:p>
            <w:pPr>
              <w:adjustRightInd w:val="0"/>
              <w:snapToGrid w:val="0"/>
              <w:spacing w:line="560" w:lineRule="exact"/>
              <w:jc w:val="center"/>
              <w:rPr>
                <w:rFonts w:ascii="仿宋" w:hAnsi="仿宋" w:eastAsia="仿宋"/>
                <w:b/>
                <w:bCs/>
                <w:sz w:val="22"/>
                <w:szCs w:val="28"/>
              </w:rPr>
            </w:pPr>
            <w:r>
              <w:rPr>
                <w:rFonts w:ascii="仿宋" w:hAnsi="仿宋" w:eastAsia="仿宋"/>
                <w:b/>
                <w:bCs/>
                <w:sz w:val="22"/>
                <w:szCs w:val="28"/>
              </w:rPr>
              <w:t>考核内容及标准</w:t>
            </w:r>
          </w:p>
        </w:tc>
        <w:tc>
          <w:tcPr>
            <w:tcW w:w="3119" w:type="dxa"/>
          </w:tcPr>
          <w:p>
            <w:pPr>
              <w:adjustRightInd w:val="0"/>
              <w:snapToGrid w:val="0"/>
              <w:spacing w:line="560" w:lineRule="exact"/>
              <w:ind w:firstLine="440" w:firstLineChars="200"/>
              <w:jc w:val="center"/>
              <w:rPr>
                <w:rFonts w:ascii="仿宋" w:hAnsi="仿宋" w:eastAsia="仿宋"/>
                <w:b/>
                <w:bCs/>
                <w:sz w:val="22"/>
                <w:szCs w:val="28"/>
              </w:rPr>
            </w:pPr>
            <w:r>
              <w:rPr>
                <w:rFonts w:ascii="仿宋" w:hAnsi="仿宋" w:eastAsia="仿宋"/>
                <w:b/>
                <w:bCs/>
                <w:sz w:val="22"/>
                <w:szCs w:val="28"/>
              </w:rPr>
              <w:t>考核方法</w:t>
            </w:r>
          </w:p>
        </w:tc>
      </w:tr>
      <w:tr>
        <w:trPr>
          <w:trHeight w:val="560" w:hRule="atLeast"/>
        </w:trPr>
        <w:tc>
          <w:tcPr>
            <w:tcW w:w="1413" w:type="dxa"/>
            <w:vMerge w:val="restart"/>
            <w:vAlign w:val="center"/>
          </w:tcPr>
          <w:p>
            <w:pPr>
              <w:adjustRightInd w:val="0"/>
              <w:snapToGrid w:val="0"/>
              <w:spacing w:line="560" w:lineRule="exact"/>
              <w:jc w:val="left"/>
              <w:rPr>
                <w:rFonts w:ascii="仿宋" w:hAnsi="仿宋" w:eastAsia="仿宋"/>
                <w:b/>
                <w:bCs/>
                <w:sz w:val="22"/>
                <w:szCs w:val="28"/>
              </w:rPr>
            </w:pPr>
            <w:r>
              <w:rPr>
                <w:rFonts w:hint="eastAsia" w:ascii="仿宋" w:hAnsi="仿宋" w:eastAsia="仿宋"/>
                <w:b/>
                <w:bCs/>
                <w:sz w:val="22"/>
                <w:szCs w:val="28"/>
              </w:rPr>
              <w:t>基础保障</w:t>
            </w:r>
          </w:p>
          <w:p>
            <w:pPr>
              <w:adjustRightInd w:val="0"/>
              <w:snapToGrid w:val="0"/>
              <w:spacing w:line="560" w:lineRule="exact"/>
              <w:rPr>
                <w:rFonts w:ascii="仿宋" w:hAnsi="仿宋" w:eastAsia="仿宋"/>
                <w:bCs/>
                <w:sz w:val="22"/>
                <w:szCs w:val="28"/>
              </w:rPr>
            </w:pPr>
            <w:r>
              <w:rPr>
                <w:rFonts w:hint="eastAsia" w:ascii="仿宋" w:hAnsi="仿宋" w:eastAsia="仿宋"/>
                <w:b/>
                <w:bCs/>
                <w:sz w:val="22"/>
                <w:szCs w:val="28"/>
              </w:rPr>
              <w:t>（10分）</w:t>
            </w: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机构建设（4分）</w:t>
            </w:r>
          </w:p>
        </w:tc>
        <w:tc>
          <w:tcPr>
            <w:tcW w:w="1275"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组织机构完备</w:t>
            </w:r>
          </w:p>
        </w:tc>
        <w:tc>
          <w:tcPr>
            <w:tcW w:w="1134" w:type="dxa"/>
            <w:vMerge w:val="restart"/>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4</w:t>
            </w:r>
          </w:p>
        </w:tc>
        <w:tc>
          <w:tcPr>
            <w:tcW w:w="5812" w:type="dxa"/>
            <w:vMerge w:val="restart"/>
            <w:vAlign w:val="center"/>
          </w:tcPr>
          <w:p>
            <w:pPr>
              <w:adjustRightInd w:val="0"/>
              <w:snapToGrid w:val="0"/>
              <w:spacing w:line="560" w:lineRule="exact"/>
              <w:ind w:firstLine="420" w:firstLineChars="200"/>
              <w:jc w:val="left"/>
              <w:rPr>
                <w:rFonts w:ascii="仿宋" w:hAnsi="仿宋" w:eastAsia="仿宋"/>
                <w:bCs/>
                <w:szCs w:val="28"/>
              </w:rPr>
            </w:pPr>
            <w:r>
              <w:rPr>
                <w:rFonts w:hint="eastAsia" w:ascii="仿宋" w:hAnsi="仿宋" w:eastAsia="仿宋"/>
                <w:bCs/>
                <w:szCs w:val="28"/>
              </w:rPr>
              <w:t>学院应设立学生资助工作领导小组，学院家庭经济困难学生认定工作组，学院国家奖学金、国家励志奖学金评审工作组。不健全不完备不得分。</w:t>
            </w:r>
          </w:p>
        </w:tc>
        <w:tc>
          <w:tcPr>
            <w:tcW w:w="3119" w:type="dxa"/>
            <w:vMerge w:val="restart"/>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提供相关组织机构成立文件及名单。</w:t>
            </w:r>
          </w:p>
        </w:tc>
      </w:tr>
      <w:tr>
        <w:trPr>
          <w:trHeight w:val="624"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134"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5812" w:type="dxa"/>
            <w:vMerge w:val="continue"/>
            <w:vAlign w:val="center"/>
          </w:tcPr>
          <w:p>
            <w:pPr>
              <w:adjustRightInd w:val="0"/>
              <w:snapToGrid w:val="0"/>
              <w:spacing w:line="560" w:lineRule="exact"/>
              <w:ind w:firstLine="420" w:firstLineChars="200"/>
              <w:jc w:val="left"/>
              <w:rPr>
                <w:rFonts w:ascii="仿宋" w:hAnsi="仿宋" w:eastAsia="仿宋"/>
                <w:bCs/>
                <w:szCs w:val="28"/>
              </w:rPr>
            </w:pPr>
          </w:p>
        </w:tc>
        <w:tc>
          <w:tcPr>
            <w:tcW w:w="3119" w:type="dxa"/>
            <w:vMerge w:val="continue"/>
            <w:vAlign w:val="center"/>
          </w:tcPr>
          <w:p>
            <w:pPr>
              <w:adjustRightInd w:val="0"/>
              <w:snapToGrid w:val="0"/>
              <w:spacing w:line="560" w:lineRule="exact"/>
              <w:ind w:firstLine="420" w:firstLineChars="200"/>
              <w:rPr>
                <w:rFonts w:ascii="仿宋" w:hAnsi="仿宋" w:eastAsia="仿宋"/>
                <w:bCs/>
                <w:szCs w:val="28"/>
              </w:rPr>
            </w:pPr>
          </w:p>
        </w:tc>
      </w:tr>
      <w:tr>
        <w:trPr>
          <w:trHeight w:val="52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领导重视（4分）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学院领导重视</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Align w:val="center"/>
          </w:tcPr>
          <w:p>
            <w:pPr>
              <w:adjustRightInd w:val="0"/>
              <w:snapToGrid w:val="0"/>
              <w:spacing w:line="560" w:lineRule="exact"/>
              <w:ind w:firstLine="420" w:firstLineChars="200"/>
              <w:jc w:val="left"/>
              <w:rPr>
                <w:rFonts w:ascii="仿宋" w:hAnsi="仿宋" w:eastAsia="仿宋"/>
                <w:bCs/>
                <w:szCs w:val="28"/>
              </w:rPr>
            </w:pPr>
            <w:r>
              <w:rPr>
                <w:rFonts w:hint="eastAsia" w:ascii="仿宋" w:hAnsi="仿宋" w:eastAsia="仿宋"/>
                <w:bCs/>
                <w:szCs w:val="28"/>
              </w:rPr>
              <w:t>学院每学期应至少组织召开一次资助工作会议，推进学院精准资助及资助育人各项工作。不召开不得分。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提供会议图片、记录等相关材料。</w:t>
            </w:r>
          </w:p>
        </w:tc>
      </w:tr>
      <w:tr>
        <w:trPr>
          <w:trHeight w:val="28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工作计划总结</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Align w:val="center"/>
          </w:tcPr>
          <w:p>
            <w:pPr>
              <w:adjustRightInd w:val="0"/>
              <w:snapToGrid w:val="0"/>
              <w:spacing w:line="560" w:lineRule="exact"/>
              <w:jc w:val="left"/>
              <w:rPr>
                <w:rFonts w:ascii="仿宋" w:hAnsi="仿宋" w:eastAsia="仿宋"/>
                <w:bCs/>
                <w:szCs w:val="28"/>
              </w:rPr>
            </w:pPr>
            <w:r>
              <w:rPr>
                <w:rFonts w:hint="eastAsia" w:ascii="仿宋" w:hAnsi="仿宋" w:eastAsia="仿宋"/>
                <w:bCs/>
                <w:szCs w:val="28"/>
              </w:rPr>
              <w:t>按时报送年度资助工作计划和工作总结。缺少1项扣1分。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提供年度资助工作计划及工作总结。</w:t>
            </w:r>
          </w:p>
        </w:tc>
      </w:tr>
      <w:tr>
        <w:trPr>
          <w:trHeight w:val="624"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队伍建设（2分）</w:t>
            </w:r>
          </w:p>
        </w:tc>
        <w:tc>
          <w:tcPr>
            <w:tcW w:w="1275"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人员配备</w:t>
            </w:r>
          </w:p>
        </w:tc>
        <w:tc>
          <w:tcPr>
            <w:tcW w:w="1134" w:type="dxa"/>
            <w:vMerge w:val="restart"/>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Merge w:val="restart"/>
            <w:vAlign w:val="center"/>
          </w:tcPr>
          <w:p>
            <w:pPr>
              <w:adjustRightInd w:val="0"/>
              <w:snapToGrid w:val="0"/>
              <w:spacing w:line="560" w:lineRule="exact"/>
              <w:ind w:firstLine="420" w:firstLineChars="200"/>
              <w:jc w:val="left"/>
              <w:rPr>
                <w:rFonts w:ascii="仿宋" w:hAnsi="仿宋" w:eastAsia="仿宋"/>
                <w:bCs/>
                <w:szCs w:val="28"/>
              </w:rPr>
            </w:pPr>
            <w:r>
              <w:rPr>
                <w:rFonts w:hint="eastAsia" w:ascii="仿宋" w:hAnsi="仿宋" w:eastAsia="仿宋"/>
                <w:bCs/>
                <w:szCs w:val="28"/>
              </w:rPr>
              <w:t>学院设有资助工作专职人员，不随意轮岗，能够有效落实资助政策及相关工作。</w:t>
            </w:r>
          </w:p>
        </w:tc>
        <w:tc>
          <w:tcPr>
            <w:tcW w:w="3119" w:type="dxa"/>
            <w:vMerge w:val="restart"/>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提供名单。</w:t>
            </w:r>
          </w:p>
        </w:tc>
      </w:tr>
      <w:tr>
        <w:trPr>
          <w:trHeight w:val="624"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tcPr>
          <w:p>
            <w:pPr>
              <w:adjustRightInd w:val="0"/>
              <w:snapToGrid w:val="0"/>
              <w:spacing w:line="560" w:lineRule="exact"/>
              <w:ind w:firstLine="440" w:firstLineChars="200"/>
              <w:rPr>
                <w:rFonts w:ascii="仿宋" w:hAnsi="仿宋" w:eastAsia="仿宋"/>
                <w:bCs/>
                <w:sz w:val="22"/>
                <w:szCs w:val="28"/>
              </w:rPr>
            </w:pPr>
          </w:p>
        </w:tc>
        <w:tc>
          <w:tcPr>
            <w:tcW w:w="1275" w:type="dxa"/>
            <w:vMerge w:val="continue"/>
          </w:tcPr>
          <w:p>
            <w:pPr>
              <w:adjustRightInd w:val="0"/>
              <w:snapToGrid w:val="0"/>
              <w:spacing w:line="560" w:lineRule="exact"/>
              <w:ind w:firstLine="440" w:firstLineChars="200"/>
              <w:rPr>
                <w:rFonts w:ascii="仿宋" w:hAnsi="仿宋" w:eastAsia="仿宋"/>
                <w:bCs/>
                <w:sz w:val="22"/>
                <w:szCs w:val="28"/>
              </w:rPr>
            </w:pPr>
          </w:p>
        </w:tc>
        <w:tc>
          <w:tcPr>
            <w:tcW w:w="1134" w:type="dxa"/>
            <w:vMerge w:val="continue"/>
          </w:tcPr>
          <w:p>
            <w:pPr>
              <w:adjustRightInd w:val="0"/>
              <w:snapToGrid w:val="0"/>
              <w:spacing w:line="560" w:lineRule="exact"/>
              <w:ind w:firstLine="440" w:firstLineChars="200"/>
              <w:rPr>
                <w:rFonts w:ascii="仿宋" w:hAnsi="仿宋" w:eastAsia="仿宋"/>
                <w:bCs/>
                <w:sz w:val="22"/>
                <w:szCs w:val="28"/>
              </w:rPr>
            </w:pPr>
          </w:p>
        </w:tc>
        <w:tc>
          <w:tcPr>
            <w:tcW w:w="5812" w:type="dxa"/>
            <w:vMerge w:val="continue"/>
          </w:tcPr>
          <w:p>
            <w:pPr>
              <w:adjustRightInd w:val="0"/>
              <w:snapToGrid w:val="0"/>
              <w:spacing w:line="560" w:lineRule="exact"/>
              <w:ind w:firstLine="420" w:firstLineChars="200"/>
              <w:rPr>
                <w:rFonts w:ascii="仿宋" w:hAnsi="仿宋" w:eastAsia="仿宋"/>
                <w:bCs/>
                <w:szCs w:val="28"/>
              </w:rPr>
            </w:pPr>
          </w:p>
        </w:tc>
        <w:tc>
          <w:tcPr>
            <w:tcW w:w="3119" w:type="dxa"/>
            <w:vMerge w:val="continue"/>
          </w:tcPr>
          <w:p>
            <w:pPr>
              <w:adjustRightInd w:val="0"/>
              <w:snapToGrid w:val="0"/>
              <w:spacing w:line="560" w:lineRule="exact"/>
              <w:ind w:firstLine="420" w:firstLineChars="200"/>
              <w:rPr>
                <w:rFonts w:ascii="仿宋" w:hAnsi="仿宋" w:eastAsia="仿宋"/>
                <w:bCs/>
                <w:szCs w:val="28"/>
              </w:rPr>
            </w:pPr>
          </w:p>
        </w:tc>
      </w:tr>
      <w:tr>
        <w:trPr>
          <w:trHeight w:val="1300" w:hRule="atLeast"/>
        </w:trPr>
        <w:tc>
          <w:tcPr>
            <w:tcW w:w="1413" w:type="dxa"/>
            <w:vMerge w:val="restart"/>
            <w:vAlign w:val="center"/>
          </w:tcPr>
          <w:p>
            <w:pPr>
              <w:adjustRightInd w:val="0"/>
              <w:snapToGrid w:val="0"/>
              <w:spacing w:line="560" w:lineRule="exact"/>
              <w:rPr>
                <w:rFonts w:ascii="仿宋" w:hAnsi="仿宋" w:eastAsia="仿宋"/>
                <w:b/>
                <w:bCs/>
                <w:sz w:val="22"/>
                <w:szCs w:val="28"/>
              </w:rPr>
            </w:pPr>
            <w:r>
              <w:rPr>
                <w:rFonts w:hint="eastAsia" w:ascii="仿宋" w:hAnsi="仿宋" w:eastAsia="仿宋"/>
                <w:b/>
                <w:bCs/>
                <w:sz w:val="22"/>
                <w:szCs w:val="28"/>
              </w:rPr>
              <w:t>日常工作（50分）</w:t>
            </w: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家庭经济困难学生认定 (12分）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民主评议</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4</w:t>
            </w:r>
          </w:p>
        </w:tc>
        <w:tc>
          <w:tcPr>
            <w:tcW w:w="5812" w:type="dxa"/>
            <w:vAlign w:val="center"/>
          </w:tcPr>
          <w:p>
            <w:pPr>
              <w:adjustRightInd w:val="0"/>
              <w:snapToGrid w:val="0"/>
              <w:spacing w:line="560" w:lineRule="exact"/>
              <w:ind w:firstLine="420" w:firstLineChars="200"/>
              <w:jc w:val="left"/>
              <w:rPr>
                <w:rFonts w:ascii="仿宋" w:hAnsi="仿宋" w:eastAsia="仿宋"/>
                <w:bCs/>
                <w:szCs w:val="28"/>
              </w:rPr>
            </w:pPr>
            <w:r>
              <w:rPr>
                <w:rFonts w:hint="eastAsia" w:ascii="仿宋" w:hAnsi="仿宋" w:eastAsia="仿宋"/>
                <w:bCs/>
                <w:szCs w:val="28"/>
              </w:rPr>
              <w:t>家庭经济困难学生认定工作严格按照学校认定工作程序公开、公平、公正开展。    按要求组建班级（年级）家庭经济困难学生认定民主评议小组加1分；    按要求召开班级（年级）民主评议会，并上交评议会纪要加2分；    学院召开民主评议会加1分。    出现投诉并查实，1次扣2分。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提供评议小组名单、民主评议会安排、民主评议会议图片、民主评议会议记录等相关材料。</w:t>
            </w:r>
          </w:p>
        </w:tc>
      </w:tr>
      <w:tr>
        <w:trPr>
          <w:trHeight w:val="780" w:hRule="atLeast"/>
        </w:trPr>
        <w:tc>
          <w:tcPr>
            <w:tcW w:w="1413"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jc w:val="center"/>
              <w:rPr>
                <w:rFonts w:ascii="仿宋" w:hAnsi="仿宋" w:eastAsia="仿宋"/>
                <w:bCs/>
                <w:sz w:val="22"/>
                <w:szCs w:val="28"/>
              </w:rPr>
            </w:pPr>
            <w:r>
              <w:rPr>
                <w:rFonts w:hint="eastAsia" w:ascii="仿宋" w:hAnsi="仿宋" w:eastAsia="仿宋"/>
                <w:bCs/>
                <w:sz w:val="22"/>
                <w:szCs w:val="28"/>
              </w:rPr>
              <w:t>学生档案管理</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4</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按要求汇总并保管家庭经济困难学生认定申请材料，1分；</w:t>
            </w:r>
          </w:p>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及时上报家庭经济困难学生认定结果，1分；</w:t>
            </w:r>
          </w:p>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做好学生学工信息管理系统中家庭经济困难学生的信息更新及学籍异动情况更新，2分。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提供保管申请材料的照片等证明材料即可，其他由学生资助管理中心提供。</w:t>
            </w:r>
          </w:p>
        </w:tc>
      </w:tr>
      <w:tr>
        <w:trPr>
          <w:trHeight w:val="28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Merge w:val="restart"/>
            <w:vAlign w:val="center"/>
          </w:tcPr>
          <w:p>
            <w:pPr>
              <w:adjustRightInd w:val="0"/>
              <w:snapToGrid w:val="0"/>
              <w:spacing w:line="560" w:lineRule="exact"/>
              <w:jc w:val="center"/>
              <w:rPr>
                <w:rFonts w:ascii="仿宋" w:hAnsi="仿宋" w:eastAsia="仿宋"/>
                <w:bCs/>
                <w:sz w:val="22"/>
                <w:szCs w:val="28"/>
              </w:rPr>
            </w:pPr>
            <w:r>
              <w:rPr>
                <w:rFonts w:hint="eastAsia" w:ascii="仿宋" w:hAnsi="仿宋" w:eastAsia="仿宋"/>
                <w:bCs/>
                <w:sz w:val="22"/>
                <w:szCs w:val="28"/>
              </w:rPr>
              <w:t>复核</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学院开展电话、函调等方式进行复核工作。</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提供复核活动记录等相关材料。</w:t>
            </w:r>
          </w:p>
        </w:tc>
      </w:tr>
      <w:tr>
        <w:trPr>
          <w:trHeight w:val="52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辅导员或班主任参加学校或学院组织的实地家访复核工作，去一个省地加1分。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提供家访复核活动图片、家访复核活动记录等相关材料。</w:t>
            </w:r>
          </w:p>
        </w:tc>
      </w:tr>
      <w:tr>
        <w:trPr>
          <w:trHeight w:val="52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国家助学贷款工作  (6分）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生源地贷款</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及时提交学生生源地贷款相关材料；掌握贷款学生学费、住宿费缴纳情况；做好毕业生贷款还款是的毕业确认工作。</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color w:val="FF0000"/>
                <w:szCs w:val="28"/>
              </w:rPr>
              <w:t>结合学生资助</w:t>
            </w:r>
            <w:r>
              <w:rPr>
                <w:rFonts w:ascii="仿宋" w:hAnsi="仿宋" w:eastAsia="仿宋"/>
                <w:bCs/>
                <w:color w:val="FF0000"/>
                <w:szCs w:val="28"/>
              </w:rPr>
              <w:t>中心</w:t>
            </w:r>
            <w:r>
              <w:rPr>
                <w:rFonts w:hint="eastAsia" w:ascii="仿宋" w:hAnsi="仿宋" w:eastAsia="仿宋"/>
                <w:bCs/>
                <w:color w:val="FF0000"/>
                <w:szCs w:val="28"/>
              </w:rPr>
              <w:t>数据</w:t>
            </w:r>
          </w:p>
        </w:tc>
      </w:tr>
      <w:tr>
        <w:trPr>
          <w:trHeight w:val="52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校园地贷款</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贷款材料学院初审准确无误，报送及时1分；</w:t>
            </w:r>
          </w:p>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组织人员参加贷款宣讲会及主题教育会，1分。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color w:val="FF0000"/>
                <w:szCs w:val="28"/>
              </w:rPr>
              <w:t>结合学生资助</w:t>
            </w:r>
            <w:r>
              <w:rPr>
                <w:rFonts w:ascii="仿宋" w:hAnsi="仿宋" w:eastAsia="仿宋"/>
                <w:bCs/>
                <w:color w:val="FF0000"/>
                <w:szCs w:val="28"/>
              </w:rPr>
              <w:t>中心</w:t>
            </w:r>
            <w:r>
              <w:rPr>
                <w:rFonts w:hint="eastAsia" w:ascii="仿宋" w:hAnsi="仿宋" w:eastAsia="仿宋"/>
                <w:bCs/>
                <w:color w:val="FF0000"/>
                <w:szCs w:val="28"/>
              </w:rPr>
              <w:t>数据</w:t>
            </w:r>
          </w:p>
        </w:tc>
      </w:tr>
      <w:tr>
        <w:trPr>
          <w:trHeight w:val="52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还款质量</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学院积极协助资助中心及贷款银行开展贷款催收工作，1分；  还款率达到98%以上的得2分，每降低1个百分点，减少0.5分。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color w:val="FF0000"/>
                <w:szCs w:val="28"/>
              </w:rPr>
              <w:t>结合学生资助</w:t>
            </w:r>
            <w:r>
              <w:rPr>
                <w:rFonts w:ascii="仿宋" w:hAnsi="仿宋" w:eastAsia="仿宋"/>
                <w:bCs/>
                <w:color w:val="FF0000"/>
                <w:szCs w:val="28"/>
              </w:rPr>
              <w:t>中心</w:t>
            </w:r>
            <w:r>
              <w:rPr>
                <w:rFonts w:hint="eastAsia" w:ascii="仿宋" w:hAnsi="仿宋" w:eastAsia="仿宋"/>
                <w:bCs/>
                <w:color w:val="FF0000"/>
                <w:szCs w:val="28"/>
              </w:rPr>
              <w:t>数据</w:t>
            </w:r>
          </w:p>
        </w:tc>
      </w:tr>
      <w:tr>
        <w:trPr>
          <w:trHeight w:val="156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奖学金工作      （10分）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奖学金评审</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5</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评定程序公开、公平、公正，推荐名单在全院范围内公示不少于5个工作日，按时无误报送各种纸质、电子材料。</w:t>
            </w:r>
          </w:p>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 xml:space="preserve">    按要求完成评审加2分；</w:t>
            </w:r>
          </w:p>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 xml:space="preserve">    按要求完成公示加1分；</w:t>
            </w:r>
          </w:p>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 xml:space="preserve">    按时提交材料且材料无误加2分。</w:t>
            </w:r>
          </w:p>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 xml:space="preserve">    评审后若有学生投诉且查证为实，则评审工作2分全扣，提交材料若有误，该项不得分。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学院提供评审会照片、会议记录、公示照片等相关材料。是否按时报送、无误报送由资助管理中心提供。</w:t>
            </w:r>
          </w:p>
        </w:tc>
      </w:tr>
      <w:tr>
        <w:trPr>
          <w:trHeight w:val="104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社会资助奖学金</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4</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学院自筹设立社会资助奖学金，增加优秀学生获奖额度与覆盖率。有设立院级社会资助奖学金的单位得2分。</w:t>
            </w:r>
          </w:p>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根据各学院自筹社会资助奖学金平均获奖金额（自筹社会资助奖学金总金额÷学院总人数）进行排名，第1名加2分，其他名次得分依据加权情况得出，未设立不得分。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w:t>
            </w:r>
          </w:p>
        </w:tc>
      </w:tr>
      <w:tr>
        <w:trPr>
          <w:trHeight w:val="28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典型树立</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1</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挖掘和树立争先创优、榜样先锋典型，积极报送各类事迹材料，每报送一人得0.5分，满分1分。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w:t>
            </w:r>
          </w:p>
        </w:tc>
      </w:tr>
      <w:tr>
        <w:trPr>
          <w:trHeight w:val="78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助学金工作（10分）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助学金评审</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5</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评定程序公开、公平、公正，推荐名单在全院范围内公示不少于5个工作日，按时无误报送各种纸质、电子材料。按要求完成评审加2分；按要求完成公示加1分；按时提交材料且材料无误加2分。评审后若有学生投诉则评审工作2分全扣，提交材料若有误该项不得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学院提供评审会照片、会议记录、公示照片等相关材料，是否按时报送、无误报送由资助管理中心提供。</w:t>
            </w:r>
          </w:p>
        </w:tc>
      </w:tr>
      <w:tr>
        <w:trPr>
          <w:trHeight w:val="78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社会资助助学金</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4</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 xml:space="preserve"> 学院自筹设立助学金，增强家庭经济困难学生的资助力度。有自筹学院助学金的单位得2分。</w:t>
            </w:r>
          </w:p>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 xml:space="preserve"> 根据各学院自筹助学金人均受助金额（自筹助学金总金额/学院经济困难学生总人数）进行排名，第1名加2分，其他名次得分依据加权情况得出，未设立不得分。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w:t>
            </w:r>
          </w:p>
        </w:tc>
      </w:tr>
      <w:tr>
        <w:trPr>
          <w:trHeight w:val="28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典型树立</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1</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挖掘和树立自强自立、励志成才典型，积极报送各类事迹材料，每报送一人得0.5分，满分1分。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w:t>
            </w:r>
          </w:p>
        </w:tc>
      </w:tr>
      <w:tr>
        <w:trPr>
          <w:trHeight w:val="52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新生绿色通道工作（2分）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新生班主任培训</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1</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各学院按照要求认真完成新生班主任关于新生绿色通道办理工作的培训。未按要求开展培训者不得分。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提供培训照片等相关材料。</w:t>
            </w:r>
          </w:p>
        </w:tc>
      </w:tr>
      <w:tr>
        <w:trPr>
          <w:trHeight w:val="52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绿色通道办理</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1</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积极配合资助中心开展新生绿色通道办理工作，及时准确将资助落实到家庭经济困难新生身上。未按要求落实新生绿色通道办理工作者不得分。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w:t>
            </w:r>
          </w:p>
        </w:tc>
      </w:tr>
      <w:tr>
        <w:trPr>
          <w:trHeight w:val="28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勤工助学（4分）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实践教育</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拓展校外勤工助学实践基地及岗位加1分，开展相关技能培训加1分。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w:t>
            </w:r>
          </w:p>
        </w:tc>
      </w:tr>
      <w:tr>
        <w:trPr>
          <w:trHeight w:val="28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责任教育</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为上岗学生开展责任感教育及岗前培训工作加1分，开展相关技能培训加1分。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w:t>
            </w:r>
          </w:p>
        </w:tc>
      </w:tr>
      <w:tr>
        <w:trPr>
          <w:trHeight w:val="52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资助水平（3分）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家庭经济困难学生资助面</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3</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本专生家庭经济困难学生资助覆盖率达到100%得3分，每下降2个百分点扣0.5分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w:t>
            </w:r>
          </w:p>
        </w:tc>
      </w:tr>
      <w:tr>
        <w:trPr>
          <w:trHeight w:val="520" w:hRule="atLeast"/>
        </w:trPr>
        <w:tc>
          <w:tcPr>
            <w:tcW w:w="1413" w:type="dxa"/>
            <w:vMerge w:val="continue"/>
          </w:tcPr>
          <w:p>
            <w:pPr>
              <w:adjustRightInd w:val="0"/>
              <w:snapToGrid w:val="0"/>
              <w:spacing w:line="560" w:lineRule="exact"/>
              <w:ind w:firstLine="440" w:firstLineChars="200"/>
              <w:rPr>
                <w:rFonts w:ascii="仿宋" w:hAnsi="仿宋" w:eastAsia="仿宋"/>
                <w:bCs/>
                <w:sz w:val="22"/>
                <w:szCs w:val="28"/>
              </w:rPr>
            </w:pPr>
          </w:p>
        </w:tc>
        <w:tc>
          <w:tcPr>
            <w:tcW w:w="1276"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资助效果（3分）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资助个例建档</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3</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特殊困难学生资助资料建档，校院两级举措得当、充分、有记录，相关资料充实真实。</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w:t>
            </w:r>
          </w:p>
        </w:tc>
      </w:tr>
      <w:tr>
        <w:trPr>
          <w:trHeight w:val="780" w:hRule="atLeast"/>
        </w:trPr>
        <w:tc>
          <w:tcPr>
            <w:tcW w:w="1413" w:type="dxa"/>
            <w:vMerge w:val="restart"/>
            <w:vAlign w:val="center"/>
          </w:tcPr>
          <w:p>
            <w:pPr>
              <w:adjustRightInd w:val="0"/>
              <w:snapToGrid w:val="0"/>
              <w:spacing w:line="560" w:lineRule="exact"/>
              <w:rPr>
                <w:rFonts w:ascii="仿宋" w:hAnsi="仿宋" w:eastAsia="仿宋"/>
                <w:b/>
                <w:bCs/>
                <w:sz w:val="22"/>
                <w:szCs w:val="28"/>
              </w:rPr>
            </w:pPr>
            <w:r>
              <w:rPr>
                <w:rFonts w:hint="eastAsia" w:ascii="仿宋" w:hAnsi="仿宋" w:eastAsia="仿宋"/>
                <w:b/>
                <w:bCs/>
                <w:sz w:val="22"/>
                <w:szCs w:val="28"/>
              </w:rPr>
              <w:t>资助育人工作</w:t>
            </w:r>
          </w:p>
          <w:p>
            <w:pPr>
              <w:adjustRightInd w:val="0"/>
              <w:snapToGrid w:val="0"/>
              <w:spacing w:line="560" w:lineRule="exact"/>
              <w:rPr>
                <w:rFonts w:ascii="仿宋" w:hAnsi="仿宋" w:eastAsia="仿宋"/>
                <w:b/>
                <w:bCs/>
                <w:sz w:val="22"/>
                <w:szCs w:val="28"/>
              </w:rPr>
            </w:pPr>
            <w:r>
              <w:rPr>
                <w:rFonts w:hint="eastAsia" w:ascii="仿宋" w:hAnsi="仿宋" w:eastAsia="仿宋"/>
                <w:b/>
                <w:bCs/>
                <w:sz w:val="22"/>
                <w:szCs w:val="28"/>
              </w:rPr>
              <w:t>（10分）</w:t>
            </w: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主题教育（10分）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活动开展</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5</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学院制定年度学生资助育人主题教育活动实施方案，组织开展与感恩、诚信、励志、责任教育有关的院级主题教育活动，实施效果良好。提交年度资助育人主题计划的得1分；每开展一次院级活动加1分。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提供活动实施方案、活动图片、活动记录等相关材料。</w:t>
            </w:r>
          </w:p>
        </w:tc>
      </w:tr>
      <w:tr>
        <w:trPr>
          <w:trHeight w:val="780" w:hRule="atLeast"/>
        </w:trPr>
        <w:tc>
          <w:tcPr>
            <w:tcW w:w="1413"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参与情况</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5</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根据学校安排，积极组织学生参加贷款政策宣传、诚信教育、励志教育、感恩教育等主题教育活动；积极上报“助学、铸人、筑梦”征文。配合组织学生参加学校活动每次加0.5分，按要求报送征文加1分。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学院提供材料，资助中心审核。</w:t>
            </w:r>
          </w:p>
        </w:tc>
      </w:tr>
      <w:tr>
        <w:trPr>
          <w:trHeight w:val="520" w:hRule="atLeast"/>
        </w:trPr>
        <w:tc>
          <w:tcPr>
            <w:tcW w:w="1413"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能力提升（10分）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活动开展</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5</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积极搭建平台，拓宽渠道，开展家庭经济困难学生综合能力培养和提升类活动，活动覆盖范围广，实施效果好。每开展一次活动加0.5分，满分5分。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提供活动图片、活动记录等相关材料。</w:t>
            </w:r>
          </w:p>
        </w:tc>
      </w:tr>
      <w:tr>
        <w:trPr>
          <w:trHeight w:val="520" w:hRule="atLeast"/>
        </w:trPr>
        <w:tc>
          <w:tcPr>
            <w:tcW w:w="1413"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参与情况</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5</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根据学校安排，积极组织学生参加学校开展的自强杯演讲比赛、自强之星、阳光宣讲团、资助政策宣传大使等活动，学生参与率高。根据活动参与情况进行排名后打分，满分5分。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学院提供材料，资助中心审核。</w:t>
            </w:r>
          </w:p>
        </w:tc>
      </w:tr>
      <w:tr>
        <w:trPr>
          <w:trHeight w:val="520" w:hRule="atLeast"/>
        </w:trPr>
        <w:tc>
          <w:tcPr>
            <w:tcW w:w="1413"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6" w:type="dxa"/>
            <w:vMerge w:val="restart"/>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育人成效（10分）</w:t>
            </w: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家庭经济困难学生就业率</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5</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本专科家庭经济困难学生就业率达到100%得2分，每降低1个百分点扣0.1分</w:t>
            </w:r>
          </w:p>
        </w:tc>
        <w:tc>
          <w:tcPr>
            <w:tcW w:w="3119" w:type="dxa"/>
            <w:vAlign w:val="center"/>
          </w:tcPr>
          <w:p>
            <w:pPr>
              <w:adjustRightInd w:val="0"/>
              <w:snapToGrid w:val="0"/>
              <w:spacing w:line="560" w:lineRule="exact"/>
              <w:rPr>
                <w:rFonts w:ascii="仿宋" w:hAnsi="仿宋" w:eastAsia="仿宋"/>
                <w:bCs/>
                <w:szCs w:val="28"/>
              </w:rPr>
            </w:pPr>
            <w:r>
              <w:rPr>
                <w:rFonts w:hint="eastAsia" w:ascii="仿宋" w:hAnsi="仿宋" w:eastAsia="仿宋"/>
                <w:bCs/>
                <w:szCs w:val="28"/>
              </w:rPr>
              <w:t>学院提供材料，资助中心审核。</w:t>
            </w:r>
          </w:p>
        </w:tc>
      </w:tr>
      <w:tr>
        <w:trPr>
          <w:trHeight w:val="520" w:hRule="atLeast"/>
        </w:trPr>
        <w:tc>
          <w:tcPr>
            <w:tcW w:w="1413"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6"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1275" w:type="dxa"/>
            <w:vAlign w:val="center"/>
          </w:tcPr>
          <w:p>
            <w:pPr>
              <w:adjustRightInd w:val="0"/>
              <w:snapToGrid w:val="0"/>
              <w:spacing w:line="560" w:lineRule="exact"/>
              <w:rPr>
                <w:rFonts w:ascii="仿宋" w:hAnsi="仿宋" w:eastAsia="仿宋"/>
                <w:bCs/>
                <w:sz w:val="22"/>
                <w:szCs w:val="28"/>
              </w:rPr>
            </w:pPr>
            <w:r>
              <w:rPr>
                <w:rFonts w:hint="eastAsia" w:ascii="仿宋" w:hAnsi="仿宋" w:eastAsia="仿宋"/>
                <w:bCs/>
                <w:sz w:val="22"/>
                <w:szCs w:val="28"/>
              </w:rPr>
              <w:t>育人活动学生获奖</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5</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组织参加各级各类资助育人等活动，每次加0.5分，获得奖励，每次加1分（同一活动不重复计分）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学院提供材料，资助中心审核。</w:t>
            </w:r>
          </w:p>
        </w:tc>
      </w:tr>
      <w:tr>
        <w:trPr>
          <w:trHeight w:val="780" w:hRule="atLeast"/>
        </w:trPr>
        <w:tc>
          <w:tcPr>
            <w:tcW w:w="1413" w:type="dxa"/>
            <w:vMerge w:val="restart"/>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工作绩效（10分）</w:t>
            </w:r>
          </w:p>
        </w:tc>
        <w:tc>
          <w:tcPr>
            <w:tcW w:w="2551" w:type="dxa"/>
            <w:gridSpan w:val="2"/>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宣传报道</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5</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积极在学校新闻网站、微信平台及学生资助网站宣传报道学院学生资助工作。在学校新闻网站及学校官微报送新闻，每录用1篇得1分，满分3分；在校外网站（中央媒体、省市级媒体等）报送学生资助典型工作新闻，每报道1篇2分，满分5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提供学校新闻网站及官微新闻截图或网址。</w:t>
            </w:r>
          </w:p>
        </w:tc>
      </w:tr>
      <w:tr>
        <w:trPr>
          <w:trHeight w:val="780" w:hRule="atLeast"/>
        </w:trPr>
        <w:tc>
          <w:tcPr>
            <w:tcW w:w="1413"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2551" w:type="dxa"/>
            <w:gridSpan w:val="2"/>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资助工作理论研究</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围绕目前高校学生资助工作中的热点和难点问题，积极开展资助育人理论研究工作。参加校内各类理论研究立项活动，每有1人立项成功加1分，满分不超过4分；在核心刊物发表1篇文章得3分，非核心刊物发表文章得1分，满分不超过4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提供立项材料及刊物录用原件及复印件等相关材料。</w:t>
            </w:r>
          </w:p>
        </w:tc>
      </w:tr>
      <w:tr>
        <w:trPr>
          <w:trHeight w:val="520" w:hRule="atLeast"/>
        </w:trPr>
        <w:tc>
          <w:tcPr>
            <w:tcW w:w="1413" w:type="dxa"/>
            <w:vMerge w:val="continue"/>
            <w:vAlign w:val="center"/>
          </w:tcPr>
          <w:p>
            <w:pPr>
              <w:adjustRightInd w:val="0"/>
              <w:snapToGrid w:val="0"/>
              <w:spacing w:line="560" w:lineRule="exact"/>
              <w:ind w:firstLine="440" w:firstLineChars="200"/>
              <w:rPr>
                <w:rFonts w:ascii="仿宋" w:hAnsi="仿宋" w:eastAsia="仿宋"/>
                <w:bCs/>
                <w:sz w:val="22"/>
                <w:szCs w:val="28"/>
              </w:rPr>
            </w:pPr>
          </w:p>
        </w:tc>
        <w:tc>
          <w:tcPr>
            <w:tcW w:w="2551" w:type="dxa"/>
            <w:gridSpan w:val="2"/>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校外媒体报道</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3</w:t>
            </w:r>
          </w:p>
        </w:tc>
        <w:tc>
          <w:tcPr>
            <w:tcW w:w="5812"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挖掘并宣传受助学生自立自强、积极向上、回馈社会的典型事迹，并积极向校外媒体报送资助育人活动案例。国家级媒体报道1次得4分、北京市级媒体报道1次得2分。满分不超过10分。</w:t>
            </w:r>
          </w:p>
        </w:tc>
        <w:tc>
          <w:tcPr>
            <w:tcW w:w="3119" w:type="dxa"/>
            <w:vAlign w:val="center"/>
          </w:tcPr>
          <w:p>
            <w:pPr>
              <w:adjustRightInd w:val="0"/>
              <w:snapToGrid w:val="0"/>
              <w:spacing w:line="560" w:lineRule="exact"/>
              <w:ind w:firstLine="420" w:firstLineChars="200"/>
              <w:rPr>
                <w:rFonts w:ascii="仿宋" w:hAnsi="仿宋" w:eastAsia="仿宋"/>
                <w:bCs/>
                <w:szCs w:val="28"/>
              </w:rPr>
            </w:pPr>
            <w:r>
              <w:rPr>
                <w:rFonts w:hint="eastAsia" w:ascii="仿宋" w:hAnsi="仿宋" w:eastAsia="仿宋"/>
                <w:bCs/>
                <w:szCs w:val="28"/>
              </w:rPr>
              <w:t>提供媒体报道相关材料。</w:t>
            </w:r>
          </w:p>
        </w:tc>
      </w:tr>
      <w:tr>
        <w:trPr>
          <w:trHeight w:val="280" w:hRule="atLeast"/>
        </w:trPr>
        <w:tc>
          <w:tcPr>
            <w:tcW w:w="3964" w:type="dxa"/>
            <w:gridSpan w:val="3"/>
            <w:vAlign w:val="center"/>
          </w:tcPr>
          <w:p>
            <w:pPr>
              <w:adjustRightInd w:val="0"/>
              <w:snapToGrid w:val="0"/>
              <w:spacing w:line="560" w:lineRule="exact"/>
              <w:ind w:firstLine="440" w:firstLineChars="200"/>
              <w:rPr>
                <w:rFonts w:ascii="仿宋" w:hAnsi="仿宋" w:eastAsia="仿宋"/>
                <w:b/>
                <w:bCs/>
                <w:sz w:val="22"/>
                <w:szCs w:val="28"/>
              </w:rPr>
            </w:pPr>
            <w:r>
              <w:rPr>
                <w:rFonts w:hint="eastAsia" w:ascii="仿宋" w:hAnsi="仿宋" w:eastAsia="仿宋"/>
                <w:b/>
                <w:bCs/>
                <w:sz w:val="22"/>
                <w:szCs w:val="28"/>
              </w:rPr>
              <w:t>合      计</w:t>
            </w:r>
          </w:p>
        </w:tc>
        <w:tc>
          <w:tcPr>
            <w:tcW w:w="1134" w:type="dxa"/>
            <w:vAlign w:val="center"/>
          </w:tcPr>
          <w:p>
            <w:pPr>
              <w:adjustRightInd w:val="0"/>
              <w:snapToGrid w:val="0"/>
              <w:spacing w:line="560" w:lineRule="exact"/>
              <w:ind w:firstLine="440" w:firstLineChars="200"/>
              <w:rPr>
                <w:rFonts w:ascii="仿宋" w:hAnsi="仿宋" w:eastAsia="仿宋"/>
                <w:b/>
                <w:bCs/>
                <w:sz w:val="22"/>
                <w:szCs w:val="28"/>
              </w:rPr>
            </w:pPr>
            <w:r>
              <w:rPr>
                <w:rFonts w:hint="eastAsia" w:ascii="仿宋" w:hAnsi="仿宋" w:eastAsia="仿宋"/>
                <w:b/>
                <w:bCs/>
                <w:sz w:val="22"/>
                <w:szCs w:val="28"/>
              </w:rPr>
              <w:t>100</w:t>
            </w:r>
          </w:p>
        </w:tc>
        <w:tc>
          <w:tcPr>
            <w:tcW w:w="5812"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　</w:t>
            </w:r>
          </w:p>
        </w:tc>
        <w:tc>
          <w:tcPr>
            <w:tcW w:w="3119"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　</w:t>
            </w:r>
          </w:p>
        </w:tc>
      </w:tr>
    </w:tbl>
    <w:p>
      <w:pPr>
        <w:adjustRightInd w:val="0"/>
        <w:snapToGrid w:val="0"/>
        <w:spacing w:line="560" w:lineRule="exact"/>
        <w:rPr>
          <w:rFonts w:ascii="仿宋" w:hAnsi="仿宋" w:eastAsia="仿宋"/>
          <w:b/>
          <w:bCs/>
          <w:sz w:val="22"/>
          <w:szCs w:val="28"/>
        </w:rPr>
      </w:pPr>
    </w:p>
    <w:p>
      <w:pPr>
        <w:adjustRightInd w:val="0"/>
        <w:snapToGrid w:val="0"/>
        <w:spacing w:line="560" w:lineRule="exact"/>
        <w:rPr>
          <w:rFonts w:ascii="宋体" w:hAnsi="宋体" w:eastAsia="宋体"/>
          <w:b/>
          <w:bCs/>
          <w:sz w:val="28"/>
          <w:szCs w:val="28"/>
        </w:rPr>
      </w:pPr>
      <w:r>
        <w:rPr>
          <w:rFonts w:hint="eastAsia" w:ascii="仿宋" w:hAnsi="仿宋" w:eastAsia="仿宋" w:cs="仿宋"/>
          <w:b/>
          <w:bCs/>
          <w:sz w:val="28"/>
          <w:szCs w:val="28"/>
        </w:rPr>
        <w:t>2.附加部分</w:t>
      </w:r>
    </w:p>
    <w:tbl>
      <w:tblPr>
        <w:tblStyle w:val="5"/>
        <w:tblW w:w="13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4"/>
        <w:gridCol w:w="1134"/>
        <w:gridCol w:w="4677"/>
        <w:gridCol w:w="2410"/>
      </w:tblGrid>
      <w:tr>
        <w:trPr>
          <w:trHeight w:val="280" w:hRule="atLeast"/>
        </w:trPr>
        <w:tc>
          <w:tcPr>
            <w:tcW w:w="5524" w:type="dxa"/>
            <w:vAlign w:val="center"/>
          </w:tcPr>
          <w:p>
            <w:pPr>
              <w:adjustRightInd w:val="0"/>
              <w:snapToGrid w:val="0"/>
              <w:spacing w:line="560" w:lineRule="exact"/>
              <w:ind w:firstLine="440" w:firstLineChars="200"/>
              <w:rPr>
                <w:rFonts w:ascii="仿宋" w:hAnsi="仿宋" w:eastAsia="仿宋"/>
                <w:b/>
                <w:bCs/>
                <w:sz w:val="22"/>
                <w:szCs w:val="28"/>
              </w:rPr>
            </w:pPr>
            <w:r>
              <w:rPr>
                <w:rFonts w:ascii="仿宋" w:hAnsi="仿宋" w:eastAsia="仿宋"/>
                <w:b/>
                <w:bCs/>
                <w:sz w:val="22"/>
                <w:szCs w:val="28"/>
              </w:rPr>
              <w:t>附加指标</w:t>
            </w:r>
          </w:p>
        </w:tc>
        <w:tc>
          <w:tcPr>
            <w:tcW w:w="1134" w:type="dxa"/>
            <w:vAlign w:val="center"/>
          </w:tcPr>
          <w:p>
            <w:pPr>
              <w:adjustRightInd w:val="0"/>
              <w:snapToGrid w:val="0"/>
              <w:spacing w:line="560" w:lineRule="exact"/>
              <w:rPr>
                <w:rFonts w:ascii="仿宋" w:hAnsi="仿宋" w:eastAsia="仿宋"/>
                <w:b/>
                <w:bCs/>
                <w:sz w:val="22"/>
                <w:szCs w:val="28"/>
              </w:rPr>
            </w:pPr>
            <w:r>
              <w:rPr>
                <w:rFonts w:ascii="仿宋" w:hAnsi="仿宋" w:eastAsia="仿宋"/>
                <w:b/>
                <w:bCs/>
                <w:sz w:val="22"/>
                <w:szCs w:val="28"/>
              </w:rPr>
              <w:t>指标分值</w:t>
            </w:r>
          </w:p>
        </w:tc>
        <w:tc>
          <w:tcPr>
            <w:tcW w:w="4677" w:type="dxa"/>
            <w:vAlign w:val="center"/>
          </w:tcPr>
          <w:p>
            <w:pPr>
              <w:adjustRightInd w:val="0"/>
              <w:snapToGrid w:val="0"/>
              <w:spacing w:line="560" w:lineRule="exact"/>
              <w:ind w:firstLine="440" w:firstLineChars="200"/>
              <w:rPr>
                <w:rFonts w:ascii="仿宋" w:hAnsi="仿宋" w:eastAsia="仿宋"/>
                <w:b/>
                <w:bCs/>
                <w:sz w:val="22"/>
                <w:szCs w:val="28"/>
              </w:rPr>
            </w:pPr>
            <w:r>
              <w:rPr>
                <w:rFonts w:ascii="仿宋" w:hAnsi="仿宋" w:eastAsia="仿宋"/>
                <w:b/>
                <w:bCs/>
                <w:sz w:val="22"/>
                <w:szCs w:val="28"/>
              </w:rPr>
              <w:t>考核内容及标准</w:t>
            </w:r>
          </w:p>
        </w:tc>
        <w:tc>
          <w:tcPr>
            <w:tcW w:w="2410" w:type="dxa"/>
            <w:vAlign w:val="center"/>
          </w:tcPr>
          <w:p>
            <w:pPr>
              <w:adjustRightInd w:val="0"/>
              <w:snapToGrid w:val="0"/>
              <w:spacing w:line="560" w:lineRule="exact"/>
              <w:ind w:firstLine="440" w:firstLineChars="200"/>
              <w:rPr>
                <w:rFonts w:ascii="仿宋" w:hAnsi="仿宋" w:eastAsia="仿宋"/>
                <w:b/>
                <w:bCs/>
                <w:sz w:val="22"/>
                <w:szCs w:val="28"/>
              </w:rPr>
            </w:pPr>
            <w:r>
              <w:rPr>
                <w:rFonts w:ascii="仿宋" w:hAnsi="仿宋" w:eastAsia="仿宋"/>
                <w:b/>
                <w:bCs/>
                <w:sz w:val="22"/>
                <w:szCs w:val="28"/>
              </w:rPr>
              <w:t>考核方法</w:t>
            </w:r>
          </w:p>
        </w:tc>
      </w:tr>
      <w:tr>
        <w:trPr>
          <w:trHeight w:val="520" w:hRule="atLeast"/>
        </w:trPr>
        <w:tc>
          <w:tcPr>
            <w:tcW w:w="552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工作组织参与情况</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2</w:t>
            </w:r>
          </w:p>
        </w:tc>
        <w:tc>
          <w:tcPr>
            <w:tcW w:w="4677"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积极配合资助管理中心完成学校学生资助管理中心下达的各项统计、调研工作任务，根据配合情况进行考核，满分2分。</w:t>
            </w:r>
          </w:p>
        </w:tc>
        <w:tc>
          <w:tcPr>
            <w:tcW w:w="2410"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学院提供材料，资助中心审核。</w:t>
            </w:r>
          </w:p>
        </w:tc>
      </w:tr>
      <w:tr>
        <w:trPr>
          <w:trHeight w:val="520" w:hRule="atLeast"/>
        </w:trPr>
        <w:tc>
          <w:tcPr>
            <w:tcW w:w="552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学生发展能力资助情况</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4</w:t>
            </w:r>
          </w:p>
        </w:tc>
        <w:tc>
          <w:tcPr>
            <w:tcW w:w="4677"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学院在学生科研、实践锻炼、跨境交流、就业创业等能力发展方面提供资助，每资助一项加1分，满分4分</w:t>
            </w:r>
          </w:p>
        </w:tc>
        <w:tc>
          <w:tcPr>
            <w:tcW w:w="2410"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学院提供材料，资助中心审核。</w:t>
            </w:r>
          </w:p>
        </w:tc>
      </w:tr>
      <w:tr>
        <w:trPr>
          <w:trHeight w:val="520" w:hRule="atLeast"/>
        </w:trPr>
        <w:tc>
          <w:tcPr>
            <w:tcW w:w="552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资助工作成果凝练</w:t>
            </w:r>
          </w:p>
        </w:tc>
        <w:tc>
          <w:tcPr>
            <w:tcW w:w="1134"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4</w:t>
            </w:r>
          </w:p>
        </w:tc>
        <w:tc>
          <w:tcPr>
            <w:tcW w:w="4677"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学院制定的资助工作新制度、新举措，每项加1分；辅导员、班主任发表的资助相关论文，每项加1分；申报的资助工作相关课题研究，每项加1分。满分不超过4分。</w:t>
            </w:r>
          </w:p>
        </w:tc>
        <w:tc>
          <w:tcPr>
            <w:tcW w:w="2410"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学院提供材料，资助中心审核。</w:t>
            </w:r>
          </w:p>
        </w:tc>
      </w:tr>
      <w:tr>
        <w:trPr>
          <w:trHeight w:val="280" w:hRule="atLeast"/>
        </w:trPr>
        <w:tc>
          <w:tcPr>
            <w:tcW w:w="5524" w:type="dxa"/>
            <w:vAlign w:val="center"/>
          </w:tcPr>
          <w:p>
            <w:pPr>
              <w:adjustRightInd w:val="0"/>
              <w:snapToGrid w:val="0"/>
              <w:spacing w:line="560" w:lineRule="exact"/>
              <w:ind w:firstLine="440" w:firstLineChars="200"/>
              <w:rPr>
                <w:rFonts w:ascii="仿宋" w:hAnsi="仿宋" w:eastAsia="仿宋"/>
                <w:b/>
                <w:bCs/>
                <w:sz w:val="22"/>
                <w:szCs w:val="28"/>
              </w:rPr>
            </w:pPr>
            <w:r>
              <w:rPr>
                <w:rFonts w:hint="eastAsia" w:ascii="仿宋" w:hAnsi="仿宋" w:eastAsia="仿宋"/>
                <w:b/>
                <w:bCs/>
                <w:sz w:val="22"/>
                <w:szCs w:val="28"/>
              </w:rPr>
              <w:t>合      计</w:t>
            </w:r>
          </w:p>
        </w:tc>
        <w:tc>
          <w:tcPr>
            <w:tcW w:w="1134" w:type="dxa"/>
            <w:vAlign w:val="center"/>
          </w:tcPr>
          <w:p>
            <w:pPr>
              <w:adjustRightInd w:val="0"/>
              <w:snapToGrid w:val="0"/>
              <w:spacing w:line="560" w:lineRule="exact"/>
              <w:ind w:firstLine="440" w:firstLineChars="200"/>
              <w:rPr>
                <w:rFonts w:ascii="仿宋" w:hAnsi="仿宋" w:eastAsia="仿宋"/>
                <w:b/>
                <w:bCs/>
                <w:sz w:val="22"/>
                <w:szCs w:val="28"/>
              </w:rPr>
            </w:pPr>
            <w:r>
              <w:rPr>
                <w:rFonts w:hint="eastAsia" w:ascii="仿宋" w:hAnsi="仿宋" w:eastAsia="仿宋"/>
                <w:b/>
                <w:bCs/>
                <w:sz w:val="22"/>
                <w:szCs w:val="28"/>
              </w:rPr>
              <w:t>10</w:t>
            </w:r>
          </w:p>
        </w:tc>
        <w:tc>
          <w:tcPr>
            <w:tcW w:w="4677"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　</w:t>
            </w:r>
          </w:p>
        </w:tc>
        <w:tc>
          <w:tcPr>
            <w:tcW w:w="2410" w:type="dxa"/>
            <w:vAlign w:val="center"/>
          </w:tcPr>
          <w:p>
            <w:pPr>
              <w:adjustRightInd w:val="0"/>
              <w:snapToGrid w:val="0"/>
              <w:spacing w:line="560" w:lineRule="exact"/>
              <w:ind w:firstLine="440" w:firstLineChars="200"/>
              <w:rPr>
                <w:rFonts w:ascii="仿宋" w:hAnsi="仿宋" w:eastAsia="仿宋"/>
                <w:bCs/>
                <w:sz w:val="22"/>
                <w:szCs w:val="28"/>
              </w:rPr>
            </w:pPr>
            <w:r>
              <w:rPr>
                <w:rFonts w:hint="eastAsia" w:ascii="仿宋" w:hAnsi="仿宋" w:eastAsia="仿宋"/>
                <w:bCs/>
                <w:sz w:val="22"/>
                <w:szCs w:val="28"/>
              </w:rPr>
              <w:t>　</w:t>
            </w:r>
          </w:p>
        </w:tc>
      </w:tr>
    </w:tbl>
    <w:p>
      <w:pPr>
        <w:adjustRightInd w:val="0"/>
        <w:snapToGrid w:val="0"/>
        <w:spacing w:line="560" w:lineRule="exact"/>
        <w:ind w:firstLine="560" w:firstLineChars="200"/>
        <w:rPr>
          <w:rFonts w:asciiTheme="minorEastAsia" w:hAnsiTheme="minorEastAsia"/>
          <w:b/>
          <w:bCs/>
          <w:sz w:val="28"/>
          <w:szCs w:val="28"/>
        </w:rPr>
        <w:sectPr>
          <w:pgSz w:w="16838" w:h="11906" w:orient="landscape"/>
          <w:pgMar w:top="1797" w:right="1440" w:bottom="1797" w:left="1440" w:header="851" w:footer="992" w:gutter="0"/>
          <w:cols w:space="425" w:num="1"/>
          <w:docGrid w:type="linesAndChars" w:linePitch="312" w:charSpace="0"/>
        </w:sectPr>
      </w:pPr>
    </w:p>
    <w:p>
      <w:pPr>
        <w:adjustRightInd w:val="0"/>
        <w:snapToGrid w:val="0"/>
        <w:spacing w:line="560" w:lineRule="exact"/>
        <w:ind w:firstLine="640" w:firstLineChars="200"/>
        <w:rPr>
          <w:rFonts w:ascii="黑体" w:hAnsi="黑体" w:eastAsia="黑体"/>
          <w:bCs/>
          <w:sz w:val="28"/>
          <w:szCs w:val="28"/>
        </w:rPr>
      </w:pPr>
      <w:r>
        <w:rPr>
          <w:rFonts w:hint="eastAsia" w:ascii="黑体" w:hAnsi="黑体" w:eastAsia="黑体"/>
          <w:bCs/>
          <w:sz w:val="32"/>
          <w:szCs w:val="32"/>
        </w:rPr>
        <w:t>四、工作要求</w:t>
      </w:r>
    </w:p>
    <w:p>
      <w:pPr>
        <w:adjustRightInd w:val="0"/>
        <w:snapToGrid w:val="0"/>
        <w:spacing w:line="560" w:lineRule="exact"/>
        <w:ind w:firstLine="640" w:firstLineChars="200"/>
        <w:rPr>
          <w:rFonts w:ascii="仿宋" w:hAnsi="仿宋" w:eastAsia="仿宋"/>
          <w:sz w:val="28"/>
          <w:szCs w:val="28"/>
        </w:rPr>
      </w:pPr>
      <w:r>
        <w:rPr>
          <w:rFonts w:hint="eastAsia" w:ascii="仿宋" w:hAnsi="仿宋" w:eastAsia="仿宋"/>
          <w:sz w:val="32"/>
          <w:szCs w:val="32"/>
        </w:rPr>
        <w:t>1.各学院认真对照监督管理和走访调研工作内容，提前准备好相关工作的纸质版或电子版材料备查。</w:t>
      </w:r>
    </w:p>
    <w:p>
      <w:pPr>
        <w:adjustRightInd w:val="0"/>
        <w:snapToGrid w:val="0"/>
        <w:spacing w:line="560" w:lineRule="exact"/>
        <w:ind w:firstLine="640" w:firstLineChars="200"/>
        <w:rPr>
          <w:rFonts w:ascii="仿宋" w:hAnsi="仿宋" w:eastAsia="仿宋"/>
          <w:sz w:val="28"/>
          <w:szCs w:val="28"/>
        </w:rPr>
      </w:pPr>
      <w:r>
        <w:rPr>
          <w:rFonts w:hint="eastAsia" w:ascii="仿宋" w:hAnsi="仿宋" w:eastAsia="仿宋"/>
          <w:sz w:val="32"/>
          <w:szCs w:val="32"/>
        </w:rPr>
        <w:t>2.工作小组保持严谨认真的态度，将各学院在奖助评审过程中所遇到的问题及困难及时做好记录。</w:t>
      </w:r>
    </w:p>
    <w:p>
      <w:pPr>
        <w:adjustRightInd w:val="0"/>
        <w:snapToGrid w:val="0"/>
        <w:spacing w:line="560" w:lineRule="exact"/>
        <w:ind w:firstLine="640" w:firstLineChars="200"/>
        <w:rPr>
          <w:rFonts w:ascii="仿宋" w:hAnsi="仿宋" w:eastAsia="仿宋"/>
          <w:sz w:val="28"/>
          <w:szCs w:val="28"/>
        </w:rPr>
      </w:pPr>
      <w:r>
        <w:rPr>
          <w:rFonts w:hint="eastAsia" w:ascii="仿宋" w:hAnsi="仿宋" w:eastAsia="仿宋"/>
          <w:sz w:val="32"/>
          <w:szCs w:val="32"/>
        </w:rPr>
        <w:t>3.工作小组认真听取各学院对学生资助管理中心奖助评审工作所提出的意见和建议并做好记录。</w:t>
      </w:r>
    </w:p>
    <w:p>
      <w:pPr>
        <w:adjustRightInd w:val="0"/>
        <w:snapToGrid w:val="0"/>
        <w:spacing w:line="560" w:lineRule="exact"/>
        <w:ind w:firstLine="640" w:firstLineChars="200"/>
        <w:rPr>
          <w:rFonts w:ascii="黑体" w:hAnsi="黑体" w:eastAsia="黑体"/>
          <w:bCs/>
          <w:sz w:val="28"/>
          <w:szCs w:val="28"/>
        </w:rPr>
      </w:pPr>
      <w:r>
        <w:rPr>
          <w:rFonts w:hint="eastAsia" w:ascii="黑体" w:hAnsi="黑体" w:eastAsia="黑体"/>
          <w:bCs/>
          <w:sz w:val="32"/>
          <w:szCs w:val="32"/>
        </w:rPr>
        <w:t>五、工作成果</w:t>
      </w:r>
    </w:p>
    <w:p>
      <w:pPr>
        <w:adjustRightInd w:val="0"/>
        <w:snapToGrid w:val="0"/>
        <w:spacing w:line="560" w:lineRule="exact"/>
        <w:ind w:firstLine="640" w:firstLineChars="200"/>
        <w:rPr>
          <w:rFonts w:ascii="仿宋" w:hAnsi="仿宋" w:eastAsia="仿宋"/>
          <w:sz w:val="28"/>
          <w:szCs w:val="28"/>
        </w:rPr>
      </w:pPr>
      <w:r>
        <w:rPr>
          <w:rFonts w:hint="eastAsia" w:ascii="仿宋" w:hAnsi="仿宋" w:eastAsia="仿宋"/>
          <w:sz w:val="32"/>
          <w:szCs w:val="32"/>
        </w:rPr>
        <w:t>根据工作开展结果，学生工作部及时将各学院提出的意见和建议进行总结，进一步完善我校学生资助的各项评审制度。</w:t>
      </w: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pPr>
        <w:adjustRightInd w:val="0"/>
        <w:snapToGrid w:val="0"/>
        <w:spacing w:line="560" w:lineRule="exact"/>
        <w:jc w:val="left"/>
        <w:rPr>
          <w:rFonts w:ascii="仿宋" w:hAnsi="仿宋" w:eastAsia="仿宋"/>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XiaoBiaoSong-B05">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2"/>
      <w:jc w:val="center"/>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right="62"/>
                            <w:jc w:val="center"/>
                          </w:pPr>
                          <w:r>
                            <w:rPr>
                              <w:sz w:val="28"/>
                            </w:rPr>
                            <w:t xml:space="preserve">- </w:t>
                          </w:r>
                          <w:r>
                            <w:rPr>
                              <w:sz w:val="32"/>
                            </w:rPr>
                            <w:fldChar w:fldCharType="begin"/>
                          </w:r>
                          <w:r>
                            <w:instrText xml:space="preserve"> PAGE   \* MERGEFORMAT </w:instrText>
                          </w:r>
                          <w:r>
                            <w:rPr>
                              <w:sz w:val="32"/>
                            </w:rPr>
                            <w:fldChar w:fldCharType="separate"/>
                          </w:r>
                          <w:r>
                            <w:rPr>
                              <w:sz w:val="28"/>
                            </w:rPr>
                            <w:t>6</w:t>
                          </w:r>
                          <w:r>
                            <w:rPr>
                              <w:sz w:val="28"/>
                            </w:rPr>
                            <w:fldChar w:fldCharType="end"/>
                          </w:r>
                          <w:r>
                            <w:rPr>
                              <w:sz w:val="28"/>
                            </w:rPr>
                            <w:t xml:space="preserve"> </w:t>
                          </w:r>
                          <w:r>
                            <w:rPr>
                              <w:rFonts w:eastAsia="Times New Roman"/>
                              <w:sz w:val="28"/>
                            </w:rPr>
                            <w:t>-</w:t>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ind w:right="62"/>
                      <w:jc w:val="center"/>
                    </w:pPr>
                    <w:r>
                      <w:rPr>
                        <w:sz w:val="28"/>
                      </w:rPr>
                      <w:t xml:space="preserve">- </w:t>
                    </w:r>
                    <w:r>
                      <w:rPr>
                        <w:sz w:val="32"/>
                      </w:rPr>
                      <w:fldChar w:fldCharType="begin"/>
                    </w:r>
                    <w:r>
                      <w:instrText xml:space="preserve"> PAGE   \* MERGEFORMAT </w:instrText>
                    </w:r>
                    <w:r>
                      <w:rPr>
                        <w:sz w:val="32"/>
                      </w:rPr>
                      <w:fldChar w:fldCharType="separate"/>
                    </w:r>
                    <w:r>
                      <w:rPr>
                        <w:sz w:val="28"/>
                      </w:rPr>
                      <w:t>6</w:t>
                    </w:r>
                    <w:r>
                      <w:rPr>
                        <w:sz w:val="28"/>
                      </w:rPr>
                      <w:fldChar w:fldCharType="end"/>
                    </w:r>
                    <w:r>
                      <w:rPr>
                        <w:sz w:val="28"/>
                      </w:rPr>
                      <w:t xml:space="preserve"> </w:t>
                    </w:r>
                    <w:r>
                      <w:rPr>
                        <w:rFonts w:eastAsia="Times New Roman"/>
                        <w:sz w:val="28"/>
                      </w:rPr>
                      <w:t>-</w:t>
                    </w:r>
                  </w:p>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F006E"/>
    <w:rsid w:val="0BF7E86C"/>
    <w:rsid w:val="1E3B82A1"/>
    <w:rsid w:val="6BFF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atLeast"/>
      <w:outlineLvl w:val="0"/>
    </w:pPr>
    <w:rPr>
      <w:rFonts w:eastAsia="FZXiaoBiaoSong-B05" w:asciiTheme="minorAscii" w:hAnsiTheme="minorAscii"/>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1"/>
    <w:next w:val="1"/>
    <w:uiPriority w:val="0"/>
    <w:pPr>
      <w:keepNext/>
      <w:keepLines/>
      <w:jc w:val="center"/>
      <w:outlineLvl w:val="0"/>
    </w:pPr>
    <w:rPr>
      <w:rFonts w:hint="default" w:eastAsia="黑体" w:asciiTheme="minorAscii" w:hAnsiTheme="minorAscii"/>
      <w:b/>
      <w:bCs/>
      <w:kern w:val="44"/>
      <w:sz w:val="36"/>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2024-03-15T09:10:00Z</dcterms:created>
  <dc:creator>vanvan</dc:creator>
  <cp:lastModifiedBy>vanvan</cp:lastModifiedBy>
  <dcterms:modified xsi:type="dcterms:W3CDTF">2024-03-15T09:10:23Z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0F74C05562D3B6D8EB9FF3658250516C_41</vt:lpwstr>
  </property>
</Properties>
</file>